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7838" w:rsidRDefault="00551FEE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PLANO DE MONITORAMENTO</w:t>
      </w:r>
    </w:p>
    <w:p w:rsidR="00BA7838" w:rsidRDefault="00BA783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1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BA7838">
        <w:tc>
          <w:tcPr>
            <w:tcW w:w="2370" w:type="dxa"/>
            <w:shd w:val="clear" w:color="auto" w:fill="CCCCCC"/>
          </w:tcPr>
          <w:p w:rsidR="00BA7838" w:rsidRDefault="00551FE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BA7838" w:rsidRDefault="00BA783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A7838">
        <w:trPr>
          <w:trHeight w:val="232"/>
        </w:trPr>
        <w:tc>
          <w:tcPr>
            <w:tcW w:w="2370" w:type="dxa"/>
            <w:shd w:val="clear" w:color="auto" w:fill="CCCCCC"/>
          </w:tcPr>
          <w:p w:rsidR="00BA7838" w:rsidRDefault="00551FE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BA7838" w:rsidRDefault="00BA783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BA7838" w:rsidRDefault="00BA783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p w:rsidR="00BA7838" w:rsidRDefault="00BA783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</w:rPr>
        <w:tag w:val="goog_rdk_0"/>
        <w:id w:val="-1370527544"/>
        <w:lock w:val="contentLocked"/>
      </w:sdtPr>
      <w:sdtEndPr/>
      <w:sdtContent>
        <w:tbl>
          <w:tblPr>
            <w:tblStyle w:val="aff2"/>
            <w:tblW w:w="13560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435"/>
            <w:gridCol w:w="10125"/>
          </w:tblGrid>
          <w:tr w:rsidR="00BA7838">
            <w:trPr>
              <w:trHeight w:val="400"/>
            </w:trPr>
            <w:tc>
              <w:tcPr>
                <w:tcW w:w="13560" w:type="dxa"/>
                <w:gridSpan w:val="2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BA7838" w:rsidRDefault="00551FEE">
                <w:pPr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</w:rPr>
                </w:pPr>
                <w:r>
                  <w:rPr>
                    <w:rFonts w:ascii="Arial" w:eastAsia="Arial" w:hAnsi="Arial" w:cs="Arial"/>
                    <w:b/>
                  </w:rPr>
                  <w:t>1. ENTENDIMENTO DO TEMA E DO OBJETO FISCALIZADO</w:t>
                </w:r>
              </w:p>
            </w:tc>
          </w:tr>
          <w:tr w:rsidR="00BA7838">
            <w:tc>
              <w:tcPr>
                <w:tcW w:w="343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CCCCCC"/>
              </w:tcPr>
              <w:p w:rsidR="00BA7838" w:rsidRDefault="00551FEE">
                <w:pPr>
                  <w:tabs>
                    <w:tab w:val="center" w:pos="4252"/>
                    <w:tab w:val="right" w:pos="8504"/>
                  </w:tabs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Entendimento do tema e do objeto fiscalizado</w:t>
                </w:r>
              </w:p>
            </w:tc>
            <w:tc>
              <w:tcPr>
                <w:tcW w:w="1012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(descrever o tema que envolve o objeto de fiscalização, isso inclui descrever brevemente os objetivos relevantes da entidade auditada, operações, ambiente regulatório, controles internos, o sistema financeiro e outros sistemas e processos de negócio, que c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orroboram como fontes de evidência de auditoria - NBASP 100/45).</w:t>
                </w:r>
              </w:p>
              <w:p w:rsidR="00BA7838" w:rsidRDefault="00BA7838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  <w:p w:rsidR="00BA7838" w:rsidRDefault="00551FEE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 xml:space="preserve">Obs.: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Considerando tratar-se de instrumento de fiscalização do tipo monitoramento, pela sua natureza de verificação acerca de objeto já fiscalizado anteriormente, a equipe pode se utilizar d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e conhecimentos prévios registrados nos papéis de trabalho da fiscalização original para a obtenção do entendimento do objeto de fiscalização e de seu contexto.</w:t>
                </w:r>
              </w:p>
            </w:tc>
          </w:tr>
        </w:tbl>
      </w:sdtContent>
    </w:sdt>
    <w:p w:rsidR="00BA7838" w:rsidRDefault="00BA7838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p w:rsidR="00BA7838" w:rsidRDefault="00BA7838">
      <w:pPr>
        <w:rPr>
          <w:rFonts w:ascii="Arial" w:eastAsia="Arial" w:hAnsi="Arial" w:cs="Arial"/>
          <w:b/>
          <w:sz w:val="20"/>
          <w:szCs w:val="20"/>
        </w:rPr>
      </w:pPr>
    </w:p>
    <w:sdt>
      <w:sdtPr>
        <w:rPr>
          <w:rFonts w:ascii="Times New Roman" w:eastAsia="Times New Roman" w:hAnsi="Times New Roman" w:cs="Times New Roman"/>
          <w:sz w:val="24"/>
          <w:szCs w:val="24"/>
        </w:rPr>
        <w:tag w:val="goog_rdk_6"/>
        <w:id w:val="-1874689372"/>
        <w:lock w:val="contentLocked"/>
      </w:sdtPr>
      <w:sdtEndPr/>
      <w:sdtContent>
        <w:tbl>
          <w:tblPr>
            <w:tblStyle w:val="aff3"/>
            <w:tblW w:w="1354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10095"/>
            <w:gridCol w:w="1770"/>
            <w:gridCol w:w="1680"/>
          </w:tblGrid>
          <w:tr w:rsidR="00BA7838">
            <w:trPr>
              <w:trHeight w:val="400"/>
            </w:trPr>
            <w:tc>
              <w:tcPr>
                <w:tcW w:w="13545" w:type="dxa"/>
                <w:gridSpan w:val="3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EAD3"/>
              </w:tcPr>
              <w:p w:rsidR="00BA7838" w:rsidRDefault="00551FEE">
                <w:pPr>
                  <w:tabs>
                    <w:tab w:val="center" w:pos="4252"/>
                    <w:tab w:val="right" w:pos="8504"/>
                  </w:tabs>
                  <w:jc w:val="center"/>
                  <w:rPr>
                    <w:rFonts w:ascii="Arial" w:eastAsia="Arial" w:hAnsi="Arial" w:cs="Arial"/>
                    <w:b/>
                    <w:color w:val="1C4587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</w:rPr>
                  <w:t>2. AVALIAÇÃO DE RISCOS</w:t>
                </w:r>
              </w:p>
            </w:tc>
          </w:tr>
          <w:tr w:rsidR="00BA783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BA7838" w:rsidRDefault="00551FEE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Descrição dos riscos e sua relação com o objeto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BA7838" w:rsidRDefault="00551FEE">
                <w:pPr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>Tipo de risco</w:t>
                </w:r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D9D9D9"/>
              </w:tcPr>
              <w:p w:rsidR="00BA7838" w:rsidRDefault="00551FEE">
                <w:pPr>
                  <w:jc w:val="center"/>
                  <w:rPr>
                    <w:rFonts w:ascii="Arial" w:eastAsia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sz w:val="20"/>
                    <w:szCs w:val="20"/>
                  </w:rPr>
                  <w:t xml:space="preserve">Avaliação </w:t>
                </w:r>
              </w:p>
            </w:tc>
          </w:tr>
          <w:tr w:rsidR="00BA783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(1. em razão das características e objetivos próprios do monitoramento, a avaliação de riscos pode-se valer dos riscos identificados durante o planejamento ou execução da fiscalização que deu origem a decisão monitorada, e ainda, tal avaliação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pode ser iniciada a partir dos seguintes riscos-padrão, os quais podem ser aproveitados no todo ou em parte, e complementados por outros riscos que eventualmente sejam identificados pela equipe:</w:t>
                </w:r>
              </w:p>
              <w:p w:rsidR="00BA7838" w:rsidRDefault="00BA7838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yellow"/>
                  </w:rPr>
                </w:pPr>
              </w:p>
              <w:p w:rsidR="00BA7838" w:rsidRDefault="00551FEE">
                <w:pPr>
                  <w:numPr>
                    <w:ilvl w:val="0"/>
                    <w:numId w:val="1"/>
                  </w:numPr>
                  <w:spacing w:after="200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white"/>
                  </w:rPr>
                </w:pPr>
                <w:sdt>
                  <w:sdtPr>
                    <w:tag w:val="goog_rdk_1"/>
                    <w:id w:val="746158272"/>
                  </w:sdtPr>
                  <w:sdtEndPr/>
                  <w:sdtContent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Risco de extinção ou modificação da relação jurídica do(s) a</w:t>
                    </w:r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gente(s) público(s) responsável(s) com a administração pública estadual, o que pode levar a cumprimento intempestivo ou descumprimento total ou parcial da deliberação monitorada, nos casos de decisão ou item decisório pessoal e nominalmente endereçado → Ri</w:t>
                    </w:r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sco inerente</w:t>
                    </w:r>
                  </w:sdtContent>
                </w:sdt>
              </w:p>
              <w:p w:rsidR="00BA7838" w:rsidRDefault="00551FEE">
                <w:pPr>
                  <w:numPr>
                    <w:ilvl w:val="0"/>
                    <w:numId w:val="1"/>
                  </w:numPr>
                  <w:spacing w:after="200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white"/>
                  </w:rPr>
                </w:pPr>
                <w:sdt>
                  <w:sdtPr>
                    <w:tag w:val="goog_rdk_2"/>
                    <w:id w:val="-1387561349"/>
                  </w:sdtPr>
                  <w:sdtEndPr/>
                  <w:sdtContent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 xml:space="preserve">Risco de alteração no provimento de cargos cujas competências legais indiquem responsabilidade no cumprimento, parcial ou total, de comando normativo contido na deliberação </w:t>
                    </w:r>
                    <w:proofErr w:type="gramStart"/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monitorada,  o</w:t>
                    </w:r>
                    <w:proofErr w:type="gramEnd"/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 xml:space="preserve"> que pode levar a cumprimento intempestivo ou descumpr</w:t>
                    </w:r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imento nos casos de decisão ou item decisório endereçado, de forma impessoal, à gestão de órgão ou entidade da administração estadual → Risco inerente</w:t>
                    </w:r>
                  </w:sdtContent>
                </w:sdt>
              </w:p>
              <w:p w:rsidR="00BA7838" w:rsidRDefault="00551FEE">
                <w:pPr>
                  <w:numPr>
                    <w:ilvl w:val="0"/>
                    <w:numId w:val="1"/>
                  </w:numPr>
                  <w:spacing w:after="200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white"/>
                  </w:rPr>
                </w:pPr>
                <w:sdt>
                  <w:sdtPr>
                    <w:tag w:val="goog_rdk_3"/>
                    <w:id w:val="-1658678684"/>
                  </w:sdtPr>
                  <w:sdtEndPr/>
                  <w:sdtContent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 xml:space="preserve">Risco de modificação na estrutura administrativa e no conjunto de competências do(s) </w:t>
                    </w: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orgão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(s) ou entida</w:t>
                    </w:r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de(s) com responsabilidade no cumprimento, parcial ou total, de comando normativo contido na deliberação monitorada, o que pode afetar a integralidade e a tempestividade do cumprimento da decisão monitorada → Risco inerente</w:t>
                    </w:r>
                  </w:sdtContent>
                </w:sdt>
              </w:p>
              <w:p w:rsidR="00BA7838" w:rsidRDefault="00551FEE">
                <w:pPr>
                  <w:numPr>
                    <w:ilvl w:val="0"/>
                    <w:numId w:val="1"/>
                  </w:numPr>
                  <w:spacing w:after="200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white"/>
                  </w:rPr>
                </w:pPr>
                <w:sdt>
                  <w:sdtPr>
                    <w:tag w:val="goog_rdk_4"/>
                    <w:id w:val="1960072116"/>
                  </w:sdtPr>
                  <w:sdtEndPr/>
                  <w:sdtContent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Risco de alterações no paradig</w:t>
                    </w:r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ma legal/normativo que fundamenta a decisão monitorada, o que pode afetar tanto a sua validade como aspectos de sua eficácia e efetividade → Risco inerente</w:t>
                    </w:r>
                  </w:sdtContent>
                </w:sdt>
              </w:p>
              <w:p w:rsidR="00BA7838" w:rsidRDefault="00551FEE">
                <w:pPr>
                  <w:numPr>
                    <w:ilvl w:val="0"/>
                    <w:numId w:val="1"/>
                  </w:numPr>
                  <w:spacing w:after="200"/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white"/>
                  </w:rPr>
                </w:pPr>
                <w:sdt>
                  <w:sdtPr>
                    <w:tag w:val="goog_rdk_5"/>
                    <w:id w:val="1894840227"/>
                  </w:sdtPr>
                  <w:sdtEndPr/>
                  <w:sdtContent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Risco de inexistência de evidências suficientes para emissão de opinião conclusiva quanto aos obje</w:t>
                    </w:r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 xml:space="preserve">tivos do </w:t>
                    </w:r>
                    <w:proofErr w:type="spellStart"/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monitoramente</w:t>
                    </w:r>
                    <w:proofErr w:type="spellEnd"/>
                    <w:r>
                      <w:rPr>
                        <w:rFonts w:ascii="Arial Unicode MS" w:eastAsia="Arial Unicode MS" w:hAnsi="Arial Unicode MS" w:cs="Arial Unicode MS"/>
                        <w:color w:val="FF0000"/>
                        <w:sz w:val="20"/>
                        <w:szCs w:val="20"/>
                        <w:highlight w:val="white"/>
                      </w:rPr>
                      <w:t>, o que pode resultar na emissão de opinião modificada, seja do tipo qualificada ou de abstenção (NBASP 100/51) → Risco de detecção)</w:t>
                    </w:r>
                  </w:sdtContent>
                </w:sdt>
              </w:p>
              <w:p w:rsidR="00BA7838" w:rsidRDefault="00BA7838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  <w:highlight w:val="yellow"/>
                  </w:rPr>
                </w:pPr>
              </w:p>
              <w:p w:rsidR="00BA7838" w:rsidRDefault="00551FEE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(2. caso sejam identificados riscos adicionais, descrevê-los de maneira consistente, incluindo as principais razões e as consequências potenciais mais importantes. Assim, a descrição de um risco deve possuir a seguinte estrutura: </w:t>
                </w: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causa + problema (evento d</w:t>
                </w: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e risco) + impacto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>)</w:t>
                </w:r>
              </w:p>
              <w:p w:rsidR="00BA7838" w:rsidRDefault="00BA7838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  <w:p w:rsidR="00BA7838" w:rsidRDefault="00551FEE">
                <w:pPr>
                  <w:tabs>
                    <w:tab w:val="center" w:pos="4252"/>
                    <w:tab w:val="right" w:pos="8504"/>
                  </w:tabs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b/>
                    <w:color w:val="FF0000"/>
                    <w:sz w:val="20"/>
                    <w:szCs w:val="20"/>
                  </w:rPr>
                  <w:t>Obs.: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a natureza, e por conseguinte a forma de avaliação dos riscos variará de acordo com o objetivo da fiscalização, devem ser considerados e avaliados os riscos de fraude, deficiências, desvios ou distorções que possam ocorrer em relação ao objeto, de forma g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eral e específica. Para tanto, devem ser descritos procedimentos utilizados para entendimento da entidade ou do programa e seu ambiente, incluindo os controles 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lastRenderedPageBreak/>
                  <w:t>internos relevantes, atuais de problemas ou desvios em relação ao que deveria ser ou é esperado,</w:t>
                </w:r>
                <w:r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  <w:t xml:space="preserve"> exame de indicadores de problemas a fim de definir os objetivos da auditoria  - NBASP 100/46.</w:t>
                </w: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30245258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1917551212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  <w:tr w:rsidR="00BA783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BA7838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923923878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754824619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  <w:tr w:rsidR="00BA783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BA7838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625082622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300130980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  <w:tr w:rsidR="00BA783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BA7838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96286585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1905221013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  <w:tr w:rsidR="00BA7838">
            <w:tc>
              <w:tcPr>
                <w:tcW w:w="10095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BA7838">
                <w:pPr>
                  <w:jc w:val="both"/>
                  <w:rPr>
                    <w:rFonts w:ascii="Arial" w:eastAsia="Arial" w:hAnsi="Arial" w:cs="Arial"/>
                    <w:color w:val="FF0000"/>
                    <w:sz w:val="20"/>
                    <w:szCs w:val="20"/>
                  </w:rPr>
                </w:pPr>
              </w:p>
            </w:tc>
            <w:tc>
              <w:tcPr>
                <w:tcW w:w="177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292227138"/>
                    <w:dropDownList>
                      <w:listItem w:displayText="Selecione" w:value="Selecione"/>
                      <w:listItem w:displayText="Risco Inerente" w:value="Risco Inerente"/>
                      <w:listItem w:displayText="Risco de Controle" w:value="Risco de Controle"/>
                      <w:listItem w:displayText="Risco de Fraude" w:value="Risco de Fraude"/>
                      <w:listItem w:displayText="Risco de Detecção" w:value="Risco de Detecçã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Selecione</w:t>
                    </w:r>
                  </w:sdtContent>
                </w:sdt>
              </w:p>
            </w:tc>
            <w:tc>
              <w:tcPr>
                <w:tcW w:w="1680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:rsidR="00BA7838" w:rsidRDefault="00551FEE">
                <w:pPr>
                  <w:widowControl w:val="0"/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sdt>
                  <w:sdtPr>
                    <w:alias w:val="Tipo de Risco"/>
                    <w:id w:val="-645375479"/>
                    <w:dropDownList>
                      <w:listItem w:displayText="Selecione" w:value="Selecione"/>
                      <w:listItem w:displayText="Alto" w:value="Alto"/>
                      <w:listItem w:displayText="Médio" w:value="Médio"/>
                      <w:listItem w:displayText="Baixo" w:value="Baixo"/>
                    </w:dropDownList>
                  </w:sdtPr>
                  <w:sdtEndPr/>
                  <w:sdtContent>
                    <w:r>
                      <w:rPr>
                        <w:rFonts w:ascii="Arial" w:eastAsia="Arial" w:hAnsi="Arial" w:cs="Arial"/>
                        <w:color w:val="000000"/>
                        <w:sz w:val="20"/>
                        <w:szCs w:val="20"/>
                        <w:shd w:val="clear" w:color="auto" w:fill="E8EAED"/>
                      </w:rPr>
                      <w:t>Selecione</w:t>
                    </w:r>
                  </w:sdtContent>
                </w:sdt>
              </w:p>
            </w:tc>
          </w:tr>
        </w:tbl>
      </w:sdtContent>
    </w:sdt>
    <w:p w:rsidR="00BA7838" w:rsidRDefault="00BA7838">
      <w:pPr>
        <w:tabs>
          <w:tab w:val="center" w:pos="4252"/>
          <w:tab w:val="right" w:pos="8504"/>
        </w:tabs>
        <w:rPr>
          <w:rFonts w:ascii="Arial" w:eastAsia="Arial" w:hAnsi="Arial" w:cs="Arial"/>
          <w:b/>
          <w:smallCaps/>
        </w:rPr>
      </w:pPr>
    </w:p>
    <w:tbl>
      <w:tblPr>
        <w:tblStyle w:val="aff4"/>
        <w:tblW w:w="1357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09"/>
        <w:gridCol w:w="11265"/>
      </w:tblGrid>
      <w:tr w:rsidR="00BA7838">
        <w:trPr>
          <w:trHeight w:val="400"/>
        </w:trPr>
        <w:tc>
          <w:tcPr>
            <w:tcW w:w="135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3. ESTRATÉGIA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Objetivo(s) 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(determinar o que se pretende responder por meio da fiscalização, assegurando assertividade na formulação dos objetivos e identificação dos critérios. O objetivo da fiscalização deve ser alcançável e deve identificar o objeto, a entidade ou as atividades 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fiscalização. Por padrão, o monitoramento tem por objetivo verificar em que medida uma ou mais comandos normativos contidos em decisão do TCE-GO vêm sendo cumpridos e implementados, bem como os resultados deles advindos, ou seja, seus benefícios efetivos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Escopo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fiscalização significativa, agregar valor para os usuários previstos e, sempre que possível, identificar benefícios efetivos da decisão monitorada. Pela natur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eza do monitoramento, seu objeto será uma deliberação do TCE-GO, podendo ser complementado com elementos fáticos relevantes que orbitam o tema central do que foi decidido. O escopo da fiscalização refere-se à área, extensão e o período cobertos na fiscaliz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ação do objeto, e inclui a identificação das entidades que serão alcançadas pelo monitoramento. A definição do escopo envolve a delimitação dos objetivos e do objeto da fiscalização a um número relativamente menor de procedimentos relevantes que estejam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lacionadas ao objetivo da fiscalização e que possam ser realizados com os recursos à disposição da equipe.)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Critério(s)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(Critérios são as referências usadas para avaliar o objeto. Podem ser específicos ou mais gerais, e podem ser extraídos de várias fontes, incluindo leis, regulamentos, padrões, princípios sólidos e boas práticas. No monitoramento, faz parte dos critérios,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dentre outros, o próprio teor normativo da decisão monitorada, e o arcabouço legal que tenha sido utilizado como amparo ou fundamento da deliberação)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Materialidade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(a materialidade pode focar em fatores quantitativos, como o número de pessoas ou entidades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afetadas pelo objeto específico, ou os valores monetários envolvidos, bem como no uso indevido de recursos públicos, independentemente do montante. Geralmente a materialidade é apresentada em termos de valor, mas a natureza ou as características inerentes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de um item ou grupo de itens (fatores qualitativos) também podem tornar uma questão material)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Entidade(s) abrangida(s) 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a entidade a que o objeto se refere)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Tipo de trabalho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se é um trabalho de certificação ou de relatório direto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o nível de asseguração: se razoável ou limitada. Na maioria dos casos uma fiscalização é de asseguração razoável.)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(listar os membros da equipe, nomes e funções dos responsáveis pela fiscalização.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Se houver necessidade, especificar os membros externos também)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das etapas e mecanismos de controle de qualidade, considerando o que foi estabelecido da Resolução Administrativa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no âmbito da Secretaria de Controle Externo do Tribunal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Contas do Estado de Goiás – TCE-GO.)</w:t>
            </w:r>
          </w:p>
        </w:tc>
      </w:tr>
      <w:tr w:rsidR="00BA7838"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Comunicação com a parte responsável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responsável)</w:t>
            </w:r>
          </w:p>
        </w:tc>
      </w:tr>
      <w:tr w:rsidR="00BA7838">
        <w:trPr>
          <w:trHeight w:val="457"/>
        </w:trPr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1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fiscalização a equipe pode modifi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car este papel de trabalho considerando o contexto específico da fiscalização, o objeto, a complexidade e os critérios.)</w:t>
            </w:r>
          </w:p>
        </w:tc>
      </w:tr>
    </w:tbl>
    <w:p w:rsidR="00BA7838" w:rsidRDefault="00BA7838">
      <w:pPr>
        <w:rPr>
          <w:rFonts w:ascii="Arial" w:eastAsia="Arial" w:hAnsi="Arial" w:cs="Arial"/>
          <w:b/>
          <w:sz w:val="20"/>
          <w:szCs w:val="20"/>
        </w:rPr>
      </w:pPr>
    </w:p>
    <w:p w:rsidR="00BA7838" w:rsidRDefault="00BA783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5"/>
        <w:tblW w:w="135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10"/>
        <w:gridCol w:w="1635"/>
        <w:gridCol w:w="1080"/>
        <w:gridCol w:w="1335"/>
        <w:gridCol w:w="2160"/>
        <w:gridCol w:w="1410"/>
        <w:gridCol w:w="1605"/>
        <w:gridCol w:w="1215"/>
        <w:gridCol w:w="1410"/>
      </w:tblGrid>
      <w:tr w:rsidR="00BA7838">
        <w:trPr>
          <w:trHeight w:val="400"/>
        </w:trPr>
        <w:tc>
          <w:tcPr>
            <w:tcW w:w="13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  <w:vAlign w:val="center"/>
          </w:tcPr>
          <w:p w:rsidR="00BA7838" w:rsidRDefault="00551FEE">
            <w:pPr>
              <w:widowControl w:val="0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mallCaps/>
              </w:rPr>
              <w:t>4. MATRIZ DE PLANEJAMENTO E PROCEDIMENTOS</w:t>
            </w:r>
          </w:p>
        </w:tc>
      </w:tr>
      <w:tr w:rsidR="00BA7838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ind w:left="141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bookmarkStart w:id="1" w:name="_heading=h.labot9pmqpoi" w:colFirst="0" w:colLast="0"/>
            <w:bookmarkEnd w:id="1"/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DELIBERAÇÃO / ITEM DECISÓRIO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SITUAÇÃO ENCONTRADA NA ÉPOCA DA FISCALIZAÇÃO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INFORMAÇÕES REQUERIDAS E FONTES DE INFORMAÇÃO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ind w:right="142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DETALHAMENTO DO PROCEDIMENTO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LIMITAÇÕES</w:t>
            </w: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MEMBRO RESPONSÁVEL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PERÍODO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BA7838" w:rsidRDefault="00551FEE">
            <w:pPr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 QUE A ANÁLISE VAI PERMITIR DIZER</w:t>
            </w:r>
          </w:p>
        </w:tc>
      </w:tr>
      <w:tr w:rsidR="00BA7838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As deliberações a serem monitoradas devem ser detalhadas e, se necessário, subdivididas em itens decisórios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, de forma a viabilizar a constatação do percentual de atendimento do que foi estabelecido por meio de(s) acórdão(s).</w:t>
            </w: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BA7838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BA7838" w:rsidRDefault="00BA7838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rPr>
                <w:rFonts w:ascii="Arial" w:eastAsia="Arial" w:hAnsi="Arial" w:cs="Arial"/>
                <w:color w:val="FF0000"/>
                <w:sz w:val="16"/>
                <w:szCs w:val="16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Descrever a situação (fática, normativa, administrativa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) à data da realização do trabalho que deu origem à(s) decisão(s) monitorada(s), com ênfase na irregularidade, problema etc. que tenha ensejado a deliberação ou item decisório em comento. 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Detalhar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os documentos e/ou dados que a equipe entende suficiente e apropriada para responder às questões, acompanhados da respectiva fonte de informação.</w:t>
            </w: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Geralmente, as fontes são a(s) pessoa(s), físicas ou jurídicas, e os setores que fornecerão as informações r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equeridas, bem como os documentos, bancos de dados ou os sistemas de informação de onde as mesmas serão retiradas.</w:t>
            </w: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Todas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informações requeridas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seja possível identificar quais as informações serão necessárias para responder àquelas questões.</w:t>
            </w: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Relacionar as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técnicas de coleta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dos dados que serão analisados, bem como 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métodos e técnicas de análise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desses mesmos dados, sempre buscando re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sponder aos aspectos constantes da deliberação.</w:t>
            </w: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Todos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  <w:u w:val="single"/>
              </w:rPr>
              <w:t>os procedimentos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devem conter a referência de numeração da coluna </w:t>
            </w: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>“O que a análise vai permitir dizer”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para que seja possível identificar quais serão necessários para responder àquelas questões.</w:t>
            </w:r>
          </w:p>
          <w:p w:rsidR="00BA7838" w:rsidRDefault="00BA7838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Descrever as limitações inerentes à condução dos trabalhos. </w:t>
            </w: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.: dificuldade de acesso aos documentos ou banco de dados</w:t>
            </w:r>
          </w:p>
          <w:p w:rsidR="00BA7838" w:rsidRDefault="00BA783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Obs.: Impedimentos que possam ser resolvidos pela equipe mediante solicitações de auditoria não são limitações. </w:t>
            </w:r>
          </w:p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br/>
              <w:t>Caso as solicitações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 não sejam atendidas, a equipe deve avaliar se o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“impedimento” não é, de fato, um achado de auditoria.</w:t>
            </w:r>
          </w:p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bookmarkStart w:id="2" w:name="_heading=h.30j0zll" w:colFirst="0" w:colLast="0"/>
            <w:bookmarkEnd w:id="2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Ex.:</w:t>
            </w:r>
          </w:p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 inexistência de documentos que justifiquem alterações em contratos, contratos de repasse, convênios…</w:t>
            </w:r>
          </w:p>
          <w:p w:rsidR="00BA7838" w:rsidRDefault="00BA783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Nos monitoramentos, o risco de detecção por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ausência/insuficiência de evidências apropriadas deve ser considerado na análise das limitações do trabalho.</w:t>
            </w:r>
          </w:p>
          <w:p w:rsidR="00BA7838" w:rsidRDefault="00BA783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Pessoa(s) da equipe encarregada(s) da execução de cada procedimento.</w:t>
            </w:r>
          </w:p>
          <w:p w:rsidR="00BA7838" w:rsidRDefault="00BA783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Obs</w:t>
            </w:r>
            <w:proofErr w:type="spell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: Na coluna membro responsável deverá ser referenciado o número do procedimento pelo qual cada analista será responsável (P1. P2. P3 </w:t>
            </w:r>
            <w:proofErr w:type="gramStart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etc..</w:t>
            </w:r>
            <w:proofErr w:type="gramEnd"/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)</w:t>
            </w:r>
          </w:p>
          <w:p w:rsidR="00BA7838" w:rsidRDefault="00BA7838">
            <w:pPr>
              <w:tabs>
                <w:tab w:val="left" w:pos="1560"/>
              </w:tabs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ind w:right="142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Período em que o procedimento será executado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Esclarecer quais as conclusões ou resultados que podem ser alcançad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os ao final da análise, atentando para os objetivos do trabalho e aos benefícios esperados à época da resolução.</w:t>
            </w:r>
          </w:p>
          <w:p w:rsidR="00BA7838" w:rsidRDefault="00BA7838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  <w:p w:rsidR="00BA7838" w:rsidRDefault="00551F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  <w:t xml:space="preserve">No monitoramento,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 xml:space="preserve">espera-se que a análise realizada permita, ao final, que seja emitida opinião quanto ao 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lastRenderedPageBreak/>
              <w:t>cumprimento total, parcial ou descum</w:t>
            </w: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primento da decisão/item decisório. A fiscalização também deve demonstrar os benefícios efetivos que podem decorrer do cumprimento da decisão.</w:t>
            </w:r>
          </w:p>
          <w:p w:rsidR="00BA7838" w:rsidRDefault="00551F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1.a)</w:t>
            </w:r>
          </w:p>
          <w:p w:rsidR="00BA7838" w:rsidRDefault="00551F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1.b)</w:t>
            </w:r>
          </w:p>
          <w:p w:rsidR="00BA7838" w:rsidRDefault="00551FEE">
            <w:pPr>
              <w:ind w:left="45" w:right="143"/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FF0000"/>
                <w:sz w:val="18"/>
                <w:szCs w:val="18"/>
              </w:rPr>
              <w:t>1.c)</w:t>
            </w:r>
          </w:p>
        </w:tc>
      </w:tr>
      <w:tr w:rsidR="00BA7838">
        <w:tc>
          <w:tcPr>
            <w:tcW w:w="442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BA7838" w:rsidRDefault="00BA783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913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BA7838" w:rsidRDefault="00BA7838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A7838">
        <w:tc>
          <w:tcPr>
            <w:tcW w:w="4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BA7838" w:rsidRDefault="00551FEE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91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BA7838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A7838">
        <w:tc>
          <w:tcPr>
            <w:tcW w:w="1356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A7838" w:rsidRDefault="00551FEE">
            <w:pPr>
              <w:spacing w:before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BA7838" w:rsidRDefault="00551FE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BA7838" w:rsidRDefault="00551FE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BA7838" w:rsidRDefault="00551FE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BA7838" w:rsidRDefault="00BA7838">
      <w:pPr>
        <w:rPr>
          <w:rFonts w:ascii="Arial" w:eastAsia="Arial" w:hAnsi="Arial" w:cs="Arial"/>
          <w:b/>
          <w:color w:val="1C4587"/>
          <w:sz w:val="20"/>
          <w:szCs w:val="20"/>
        </w:rPr>
        <w:sectPr w:rsidR="00BA783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BA7838" w:rsidRDefault="00551FEE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do Plano de</w:t>
      </w:r>
      <w:r>
        <w:rPr>
          <w:rFonts w:ascii="Arial" w:eastAsia="Arial" w:hAnsi="Arial" w:cs="Arial"/>
          <w:b/>
          <w:color w:val="1C4587"/>
          <w:sz w:val="20"/>
          <w:szCs w:val="20"/>
        </w:rPr>
        <w:t xml:space="preserve"> Monitoramento</w:t>
      </w:r>
    </w:p>
    <w:p w:rsidR="00BA7838" w:rsidRDefault="00BA7838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ff6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BA7838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o plano da fiscalização, contendo informações sobre o entendimento do tema e do objeto fiscalizado; a avaliação de riscos; a estratégia da fiscalização; 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a respectiva matriz de procedimentos. 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783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100/25-33, 38-50</w:t>
            </w:r>
          </w:p>
        </w:tc>
      </w:tr>
      <w:tr w:rsidR="00BA7838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BA783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1. ENTENDIMENTO DO TEMA E DO OBJETO FISCALIZADO (NBASP 100/45)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A7838" w:rsidRDefault="00551F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auditor deve descrever como se obteve previamente o entendimento do jurisdicionado e do seu ambiente com objetivo de avaliar os riscos de desconformidades nas suas operações, atividades financeiras, etc.</w:t>
            </w:r>
          </w:p>
          <w:p w:rsidR="00BA7838" w:rsidRDefault="00551FEE">
            <w:pPr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Entre outros aspectos, a equipe de fiscalização de</w:t>
            </w:r>
            <w:r>
              <w:rPr>
                <w:rFonts w:ascii="Arial" w:eastAsia="Arial" w:hAnsi="Arial" w:cs="Arial"/>
                <w:sz w:val="18"/>
                <w:szCs w:val="18"/>
              </w:rPr>
              <w:t>ve discorrer sobre a legislação que regulamenta a entidade e, se cabível, aspectos organizacionais, tais como estrutura orgânica, missão, visão, valores, competências e atribuições, assim como seus objetivos e estratégias, fluxos/processos de negócio, indi</w:t>
            </w:r>
            <w:r>
              <w:rPr>
                <w:rFonts w:ascii="Arial" w:eastAsia="Arial" w:hAnsi="Arial" w:cs="Arial"/>
                <w:sz w:val="18"/>
                <w:szCs w:val="18"/>
              </w:rPr>
              <w:t>cadores, relatórios, e/ou políticas específicas que devam ser consideradas na identificação de riscos de não conformidades, inclusive, programas e projetos constantes em Plano Plurianual (PPA) e Lei Orçamentária Anual (LOA).</w:t>
            </w:r>
          </w:p>
          <w:p w:rsidR="00BA7838" w:rsidRDefault="00551FE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entendimento da entidade pode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ser originado a partir de técnicas de coleta de dados, como entrevistas, observação e de procedimentos analíticos. A escolha de qual procedimento utilizar e a extensão da sua aplicação depende de julgamento profissional do auditor sobre o alcance e a prof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undidade do entendimento necessário em cada fiscalização. </w:t>
            </w:r>
          </w:p>
          <w:p w:rsidR="00BA7838" w:rsidRDefault="00BA78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Considerando tratar-se de instrumento de fiscalização do tipo monitoramento, pela sua natureza de verificação acerca de objeto já fiscalizado anteriormente, a equipe pode se utilizar de conhecimen</w:t>
            </w:r>
            <w:r>
              <w:rPr>
                <w:rFonts w:ascii="Arial" w:eastAsia="Arial" w:hAnsi="Arial" w:cs="Arial"/>
                <w:sz w:val="18"/>
                <w:szCs w:val="18"/>
              </w:rPr>
              <w:t>tos prévios registrados nos papéis de trabalho da fiscalização original para a obtenção do entendimento do objeto de fiscalização e de seu contexto.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2. AVALIAÇÃO DE RISCOS (NBASP 100/40; 46-47)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Essa avaliação deve abranger simultaneamente a identificação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de riscos inerentes, de controle, de fraude e de detecção. Durante a fiscalização, o registro dos riscos deve ser atualizado com base em novos riscos identificados, sem ter que passar pelo processo inteiro novamente. 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Considerando tratar-se de instrument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de fiscalização do tipo monitoramento, pela sua natureza de verificação acerca de objeto já fiscalizado anteriormente, a avaliação de riscos pode partir dos riscos previamente identificados nos papéis de trabalho da fiscalização original,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 também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dos ri</w:t>
            </w:r>
            <w:r>
              <w:rPr>
                <w:rFonts w:ascii="Arial" w:eastAsia="Arial" w:hAnsi="Arial" w:cs="Arial"/>
                <w:sz w:val="18"/>
                <w:szCs w:val="18"/>
              </w:rPr>
              <w:t>scos-padrão de monitoramento que estão registrados no quadro “2. Avaliação de Riscos” deste papel de trabalho.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Nos casos em que a equipe identifique outros riscos relevantes, deve registrá-los neste papel, e descrever sua relação com o objeto da fiscaliz</w:t>
            </w:r>
            <w:r>
              <w:rPr>
                <w:rFonts w:ascii="Arial" w:eastAsia="Arial" w:hAnsi="Arial" w:cs="Arial"/>
                <w:sz w:val="18"/>
                <w:szCs w:val="18"/>
              </w:rPr>
              <w:t>ação e, se pertinente, com as áreas governamentais impactadas com o teor normativo da decisão monitorada, e ainda, o grau avaliado (alto, baixo, médio), seu impacto e probabilidade de sua ocorrência.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avaliação de riscos pode considerar a eficácia dos controles internos eventualmente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existentes,  a</w:t>
            </w:r>
            <w:proofErr w:type="gramEnd"/>
            <w:r>
              <w:rPr>
                <w:rFonts w:ascii="Arial" w:eastAsia="Arial" w:hAnsi="Arial" w:cs="Arial"/>
                <w:sz w:val="18"/>
                <w:szCs w:val="18"/>
              </w:rPr>
              <w:t xml:space="preserve"> depender do tipo e escopo da fiscalização, de forma qualitativa, quantitativa ou ambas. Isso envolve a identificação de possíveis falhas em prevenir ou det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ectar não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conformidades e má gestão. Modelos orientativos podem ser utilizados e adaptados conforme necessário. Riscos de fraude potenciais podem ser identificados pelos mais diversos instrumentos, por exemplo, 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brainstorming</w:t>
            </w:r>
            <w:r>
              <w:rPr>
                <w:rFonts w:ascii="Arial" w:eastAsia="Arial" w:hAnsi="Arial" w:cs="Arial"/>
                <w:sz w:val="18"/>
                <w:szCs w:val="18"/>
              </w:rPr>
              <w:t>, entrevistas e análises, devend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o ser priorizados com base em impacto financeiro 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reputacional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ações legais, conformidade regulatória, integridade de dados, perda de ativos, localização, cultura organizacional, rotatividade de pessoal, liquidez de ativos, volume de transações e terceir</w:t>
            </w:r>
            <w:r>
              <w:rPr>
                <w:rFonts w:ascii="Arial" w:eastAsia="Arial" w:hAnsi="Arial" w:cs="Arial"/>
                <w:sz w:val="18"/>
                <w:szCs w:val="18"/>
              </w:rPr>
              <w:t>ização.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  <w:p w:rsidR="00BA7838" w:rsidRDefault="00BA783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3. ESTRATÉGIA (NBASP 100/25-28; 48)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estratégia de fiscalização deve ser preenchida informando detalhes das decisões gerais tomadas sobre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sobre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cada elemento estratégico da fiscalização mencionado no quadro “3. ESTRATÉGIA”, e adicionando inform</w:t>
            </w:r>
            <w:r>
              <w:rPr>
                <w:rFonts w:ascii="Arial" w:eastAsia="Arial" w:hAnsi="Arial" w:cs="Arial"/>
                <w:sz w:val="18"/>
                <w:szCs w:val="18"/>
              </w:rPr>
              <w:t>ações e comentários sobre os aspectos que irão ter impacto no planejamento ou condução das etapas da fiscalização. Esses elementos estratégicos incluem: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a) o(s) objetivo(s), o objeto, o escopo, a materialidade, os critérios e parte(s) responsável(eis) (NB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ASP 100/25-28; 41);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Os objetivos referem-se àquilo que a fiscalização pretende alcançar. Por padrão, o monitoramento tem por objetivo verificar em que medida uma ou mais decisão do TCE-GO vem sendo cumprida e implementada, bem como os resultados delas adv</w:t>
            </w:r>
            <w:r>
              <w:rPr>
                <w:rFonts w:ascii="Arial" w:eastAsia="Arial" w:hAnsi="Arial" w:cs="Arial"/>
                <w:sz w:val="18"/>
                <w:szCs w:val="18"/>
              </w:rPr>
              <w:t>indos, ou seja, seus benefícios efetivos. Entretanto, outros objetivos podem ser identificados conforme o caso.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escopo refere-se ao objeto e aos critérios que a equipe de fiscalização utilizará para avaliar e relatar acerca do objeto, e está diretamente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relacionado com os objetivos. Na fiscalização, ao contrário do que ocorre com o objeto, o escopo acaba sendo determinado pela Equipe de Fiscalização, que poderá, quando for o caso, delimitar o objeto e o que será fiscalizado. De toda forma, o escopo depen</w:t>
            </w:r>
            <w:r>
              <w:rPr>
                <w:rFonts w:ascii="Arial" w:eastAsia="Arial" w:hAnsi="Arial" w:cs="Arial"/>
                <w:sz w:val="18"/>
                <w:szCs w:val="18"/>
              </w:rPr>
              <w:t>de das necessidades do(s) usuário(s) previsto(s), para quem o auditor prepara o relatório de fiscalização (órgãos legislativos ou de controle, os responsáveis pela governança, o Ministério Público ou o público em geral); do nível da asseguração decidido, r</w:t>
            </w:r>
            <w:r>
              <w:rPr>
                <w:rFonts w:ascii="Arial" w:eastAsia="Arial" w:hAnsi="Arial" w:cs="Arial"/>
                <w:sz w:val="18"/>
                <w:szCs w:val="18"/>
              </w:rPr>
              <w:t>azoável ou limitada; de eventuais riscos já identificados; da competência e dos recursos disponíveis para realização do trabalho, entre outros.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materialidade é frequentemente considerada em termos de valor, mas pode abranger outros aspectos quantitativo</w:t>
            </w:r>
            <w:r>
              <w:rPr>
                <w:rFonts w:ascii="Arial" w:eastAsia="Arial" w:hAnsi="Arial" w:cs="Arial"/>
                <w:sz w:val="18"/>
                <w:szCs w:val="18"/>
              </w:rPr>
              <w:t>s e qualitativos, e é aplicada pela equipe de fiscalização nas fases de planejamento e execução da fiscalização. Na fase de planejamento, a materialidade ajuda na determinação do escopo, com a identificação das questões mais importantes para o(s) usuário(s</w:t>
            </w:r>
            <w:r>
              <w:rPr>
                <w:rFonts w:ascii="Arial" w:eastAsia="Arial" w:hAnsi="Arial" w:cs="Arial"/>
                <w:sz w:val="18"/>
                <w:szCs w:val="18"/>
              </w:rPr>
              <w:t>) previsto(s), e na definição dos procedimentos relacionados a cada um dos aspectos a serem investigados. Ao realizar a fiscalização, a equipe usa a materialidade para decidir sobre a extensão dos procedimentos a serem executados, na avaliação das evidênci</w:t>
            </w:r>
            <w:r>
              <w:rPr>
                <w:rFonts w:ascii="Arial" w:eastAsia="Arial" w:hAnsi="Arial" w:cs="Arial"/>
                <w:sz w:val="18"/>
                <w:szCs w:val="18"/>
              </w:rPr>
              <w:t>as coletadas, se suficientes e apropriadas para formar uma conclusão, e para avaliar os resultados da fiscalização, sintetizados, no respectivo relatório de fiscalização, na forma de achados. Determinar a materialidade é uma questão de julgamento profissio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nal e depende da interpretação da equipe de fiscalização acerca das necessidades dos usuários. Esse julgamento pode se relacionar a um item individual ou a um grupo de itens, tomados em conjunto, cujas características podem tornar uma questão material por </w:t>
            </w:r>
            <w:r>
              <w:rPr>
                <w:rFonts w:ascii="Arial" w:eastAsia="Arial" w:hAnsi="Arial" w:cs="Arial"/>
                <w:sz w:val="18"/>
                <w:szCs w:val="18"/>
              </w:rPr>
              <w:t>sua própria natureza ou por causa do contexto em que ela ocorre.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Critérios são as referências usadas para avaliar o objeto. Cada fiscalização deve ter critérios adequados às circunstâncias daquela fiscalização. Para serem adequados, os critérios de auditoria de conformidade devem ser relevantes, confiáveis, completos,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bjetivos, compreensíveis, comparáveis, aceitáveis e disponíveis. Critérios podem ser específicos ou mais gerais, e podem ser extraídos de várias fontes, incluindo leis, regulamentos, padrões, princípios sólidos e boas práticas. Os critérios devem estar dis</w:t>
            </w:r>
            <w:r>
              <w:rPr>
                <w:rFonts w:ascii="Arial" w:eastAsia="Arial" w:hAnsi="Arial" w:cs="Arial"/>
                <w:sz w:val="18"/>
                <w:szCs w:val="18"/>
              </w:rPr>
              <w:t>poníveis para os usuários previstos para lhes permitir entender como o objeto foi avaliado ou mensurado. Nas fiscalizações, com relatório direto, o auditor deve se certificar da existência de critérios correspondentes, sendo que objetos e os critérios rele</w:t>
            </w:r>
            <w:r>
              <w:rPr>
                <w:rFonts w:ascii="Arial" w:eastAsia="Arial" w:hAnsi="Arial" w:cs="Arial"/>
                <w:sz w:val="18"/>
                <w:szCs w:val="18"/>
              </w:rPr>
              <w:t>vantes podem já estar definidos pela legislação. Em trabalhos de certificação, os critérios são fornecidos implicitamente por meio da apresentação de informações sobre o objeto (elaboradas com base nos próprios critérios). Nesse caso, o auditor precisa apr</w:t>
            </w:r>
            <w:r>
              <w:rPr>
                <w:rFonts w:ascii="Arial" w:eastAsia="Arial" w:hAnsi="Arial" w:cs="Arial"/>
                <w:sz w:val="18"/>
                <w:szCs w:val="18"/>
              </w:rPr>
              <w:t>esentar sua conclusão sobre a correção dos critérios implícitos nas informações sobre o objeto.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Entidade(s) abrangida(s) pela fiscalização (parte responsável) é a organização responsável pela elaboração da informação sobre o objeto, pela gestão do objeto </w:t>
            </w:r>
            <w:r>
              <w:rPr>
                <w:rFonts w:ascii="Arial" w:eastAsia="Arial" w:hAnsi="Arial" w:cs="Arial"/>
                <w:sz w:val="18"/>
                <w:szCs w:val="18"/>
              </w:rPr>
              <w:t>ou por atender recomendações acerca do objeto. Ou seja, geralmente, o órgão jurisdicionado a que se refere o objeto fiscalizado.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b) o tipo de trabalho (trabalho de certificação ou trabalho de relatório direto) 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</w:rPr>
              <w:t>NBASP 100/29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;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relatório direto, a equipe determina o objeto e os critérios e mensura ou avalia o objeto com base nos critérios e forma, então, uma conclusão, expressa na forma de achados, respostas a questões específicas, recomendações ou uma opin</w:t>
            </w:r>
            <w:r>
              <w:rPr>
                <w:rFonts w:ascii="Arial" w:eastAsia="Arial" w:hAnsi="Arial" w:cs="Arial"/>
                <w:sz w:val="18"/>
                <w:szCs w:val="18"/>
              </w:rPr>
              <w:t>ião. Nesse tipo de trabalho, a equipe é a responsável por produzir a informação.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Em uma fiscalização de certificação, a parte responsável é quem mensura o objeto em relação aos critérios e apresenta a informação do objeto, sobre a qual a equipe então obté</w:t>
            </w:r>
            <w:r>
              <w:rPr>
                <w:rFonts w:ascii="Arial" w:eastAsia="Arial" w:hAnsi="Arial" w:cs="Arial"/>
                <w:sz w:val="18"/>
                <w:szCs w:val="18"/>
              </w:rPr>
              <w:t>m evidência suficiente e apropriada para formar uma conclusão, expressa na forma de achados, conclusões, recomendações ou uma opinião.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c) o nível de asseguração a ser fornecido - razoável ou </w:t>
            </w:r>
            <w:proofErr w:type="gramStart"/>
            <w:r>
              <w:rPr>
                <w:rFonts w:ascii="Arial" w:eastAsia="Arial" w:hAnsi="Arial" w:cs="Arial"/>
                <w:i/>
                <w:sz w:val="18"/>
                <w:szCs w:val="18"/>
              </w:rPr>
              <w:t>limitada  (</w:t>
            </w:r>
            <w:proofErr w:type="gramEnd"/>
            <w:r>
              <w:rPr>
                <w:rFonts w:ascii="Arial" w:eastAsia="Arial" w:hAnsi="Arial" w:cs="Arial"/>
                <w:i/>
                <w:sz w:val="18"/>
                <w:szCs w:val="18"/>
              </w:rPr>
              <w:t>NBASP 100/31-33</w:t>
            </w:r>
            <w:r>
              <w:rPr>
                <w:rFonts w:ascii="Arial" w:eastAsia="Arial" w:hAnsi="Arial" w:cs="Arial"/>
                <w:b/>
                <w:i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: 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asseguração razoável é alta, ma</w:t>
            </w:r>
            <w:r>
              <w:rPr>
                <w:rFonts w:ascii="Arial" w:eastAsia="Arial" w:hAnsi="Arial" w:cs="Arial"/>
                <w:sz w:val="18"/>
                <w:szCs w:val="18"/>
              </w:rPr>
              <w:t>s não absoluta. A conclusão é expressa positivamente, transmitindo que, na opinião da equipe, o objeto está ou não em conformidade em todos os aspectos relevantes, ou, quando for o caso, que a informação do objeto fornece uma visão verdadeira e justa, de a</w:t>
            </w:r>
            <w:r>
              <w:rPr>
                <w:rFonts w:ascii="Arial" w:eastAsia="Arial" w:hAnsi="Arial" w:cs="Arial"/>
                <w:sz w:val="18"/>
                <w:szCs w:val="18"/>
              </w:rPr>
              <w:t>cordo com os critérios aplicáveis. Normalmente a asseguração razoável exigirá mais evidências do que uma asseguração limitada, o que muitas vezes significa procedimentos mais extensos.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Na asseguração limitada, a conclusão afirma que, com base nos procedim</w:t>
            </w:r>
            <w:r>
              <w:rPr>
                <w:rFonts w:ascii="Arial" w:eastAsia="Arial" w:hAnsi="Arial" w:cs="Arial"/>
                <w:sz w:val="18"/>
                <w:szCs w:val="18"/>
              </w:rPr>
              <w:t>entos realizados, nada veio ao conhecimento da equipe para fazê-la acreditar que o objeto não está em conformidade com os critérios aplicáveis. No entanto, se a equipe acreditar que o objeto não está em conformidade com os critérios, ela deve realizar proc</w:t>
            </w:r>
            <w:r>
              <w:rPr>
                <w:rFonts w:ascii="Arial" w:eastAsia="Arial" w:hAnsi="Arial" w:cs="Arial"/>
                <w:sz w:val="18"/>
                <w:szCs w:val="18"/>
              </w:rPr>
              <w:t>edimentos limitados para concluir se o objeto está ou não em conformidade com os critérios.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d) a composição da equipe de fiscalização (NBASP 100/39);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Relacionar os membros da equipe, com os nomes e respectivas funções dos responsáveis pela fiscalização.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Quando for o caso, também informar os servidores de apoio técnico e assessoramento eventualmente designados para prestarem auxílio nas atividades diversas do trabalho, bem como de outros profissionais especializados não pertencentes aos quadros do TCE-GO, </w:t>
            </w:r>
            <w:r>
              <w:rPr>
                <w:rFonts w:ascii="Arial" w:eastAsia="Arial" w:hAnsi="Arial" w:cs="Arial"/>
                <w:sz w:val="18"/>
                <w:szCs w:val="18"/>
              </w:rPr>
              <w:t>a exemplo da contratação de especialistas ou da cooperação e colaboração com outros órgãos e entidades nos casos em que a fiscalização exija técnicas especializadas, métodos ou competências específicas que não se encontram disponíveis no corpo técnico do T</w:t>
            </w:r>
            <w:r>
              <w:rPr>
                <w:rFonts w:ascii="Arial" w:eastAsia="Arial" w:hAnsi="Arial" w:cs="Arial"/>
                <w:sz w:val="18"/>
                <w:szCs w:val="18"/>
              </w:rPr>
              <w:t>ribunal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e) comunicação com a parte responsável (NBASP 100/43);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Identificar as responsabilidades de comunicação de cada membro da equipe de fiscalização, bem como para quem e quando tal comunicação ocorrerá e de que forma.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f) mecanismos de controle de qu</w:t>
            </w:r>
            <w:r>
              <w:rPr>
                <w:rFonts w:ascii="Arial" w:eastAsia="Arial" w:hAnsi="Arial" w:cs="Arial"/>
                <w:i/>
                <w:sz w:val="18"/>
                <w:szCs w:val="18"/>
              </w:rPr>
              <w:t>alidade da fiscalização (NBASP 100/38):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ind w:left="28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Realizado conforme o Sistema de Qualidade das Fiscalizações –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SiQ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(Resolução Administrativa nº 13/2023), atentando-se para o disposto no Manual do Sistema de Qualidade das Fiscalizações do Controle Externo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</w:t>
            </w:r>
            <w:r>
              <w:rPr>
                <w:rFonts w:ascii="Arial" w:eastAsia="Arial" w:hAnsi="Arial" w:cs="Arial"/>
                <w:sz w:val="18"/>
                <w:szCs w:val="18"/>
              </w:rPr>
              <w:t>égia de fiscalização pode ser adaptada, e até mesmo outros elementos que a equipe considerar necessários, podendo, inclusive, ser padronizada para trabalhos repetitivos conforme o caso.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4. MATRIZ DE PROCEDIMENTOS (NBASP 100/44-48)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desta seção do plano de trabalho é possibilitar que os auditores planejem seu trabalho e assegurar que a fiscalização seja conduzida de uma maneira eficiente e eficaz;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Operacionalmente, o planejamento implica estabelecer um cronograma para a fi</w:t>
            </w:r>
            <w:r>
              <w:rPr>
                <w:rFonts w:ascii="Arial" w:eastAsia="Arial" w:hAnsi="Arial" w:cs="Arial"/>
                <w:sz w:val="18"/>
                <w:szCs w:val="18"/>
              </w:rPr>
              <w:t>scalização e a definir a natureza, época e extensão dos procedimentos a serem realizados. O planejamento da fiscalização deve ser responsivo a mudanças significativas nas circunstâncias e condições. É um processo iterativo que ocorre ao longo de todo o tra</w:t>
            </w:r>
            <w:r>
              <w:rPr>
                <w:rFonts w:ascii="Arial" w:eastAsia="Arial" w:hAnsi="Arial" w:cs="Arial"/>
                <w:sz w:val="18"/>
                <w:szCs w:val="18"/>
              </w:rPr>
              <w:t>balho.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deve elaborar a Matriz de Planejamento e Procedimentos, documento no qual devem ser selecionadas, de maneira prévia, as áreas ou questões mais relevantes e registrados os passos a serem realizados na fase de execução para que o objetivo da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fiscalização seja alcançado. É parte da realização da matriz, a elaboração/definição dos instrumentos de coleta de dados que serão utilizados durante a execução da fiscalização, lembrando que cada técnica de coleta de dados – entrevista, questionário, gru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po focal, observação direta,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etc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– possui um instrumento próprio, a ser desenhado de forma a garantir a obtenção de informações relevantes e suficientes para responder às questões elaboradas pela equipe.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BA7838" w:rsidRDefault="00551FE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consideradas de maneira adequada todas as questões significativas para alcançar os objetivos da fiscalização, permitindo que eles sejam alcançados.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FF0000"/>
                <w:sz w:val="18"/>
                <w:szCs w:val="18"/>
              </w:rPr>
            </w:pPr>
          </w:p>
        </w:tc>
      </w:tr>
      <w:tr w:rsidR="00BA783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coordenador e o supervisor da equipe de fiscalização precisam verificar se foram considerados de maneira adequada todas as áreas significativas que possam afetar a fiscalização, permitindo que a estratégia seja implementada de forma apropriada para lidar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com os assuntos que provavelmente influenciarão o planejamento e a execução da fiscalização.</w:t>
            </w:r>
          </w:p>
          <w:p w:rsidR="00BA7838" w:rsidRDefault="00BA7838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A783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A7838" w:rsidRDefault="00551FE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tabela indicando o nome das pessoas que elaboraram e documentaram a estratégia, bem como seu(s) revisor(es) deverão ser pr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eenchidas ao final. </w:t>
            </w:r>
          </w:p>
        </w:tc>
      </w:tr>
    </w:tbl>
    <w:p w:rsidR="00BA7838" w:rsidRDefault="00BA7838">
      <w:pPr>
        <w:rPr>
          <w:rFonts w:ascii="Arial" w:eastAsia="Arial" w:hAnsi="Arial" w:cs="Arial"/>
          <w:b/>
          <w:sz w:val="22"/>
          <w:szCs w:val="22"/>
        </w:rPr>
      </w:pPr>
    </w:p>
    <w:sectPr w:rsidR="00BA7838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51FEE">
      <w:r>
        <w:separator/>
      </w:r>
    </w:p>
  </w:endnote>
  <w:endnote w:type="continuationSeparator" w:id="0">
    <w:p w:rsidR="00000000" w:rsidRDefault="00551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838" w:rsidRDefault="00BA78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838" w:rsidRDefault="00551FEE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BA7838" w:rsidRDefault="00551FEE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838" w:rsidRDefault="00BA78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51FEE">
      <w:r>
        <w:separator/>
      </w:r>
    </w:p>
  </w:footnote>
  <w:footnote w:type="continuationSeparator" w:id="0">
    <w:p w:rsidR="00000000" w:rsidRDefault="00551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838" w:rsidRDefault="00BA78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838" w:rsidRDefault="00BA783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f7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BA7838">
      <w:trPr>
        <w:trHeight w:val="1418"/>
        <w:jc w:val="center"/>
      </w:trPr>
      <w:tc>
        <w:tcPr>
          <w:tcW w:w="3000" w:type="dxa"/>
          <w:vAlign w:val="center"/>
        </w:tcPr>
        <w:p w:rsidR="00BA7838" w:rsidRDefault="00551FEE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238125</wp:posOffset>
                </wp:positionH>
                <wp:positionV relativeFrom="paragraph">
                  <wp:posOffset>156845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BA7838" w:rsidRDefault="00551F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BA7838" w:rsidRDefault="00551F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BA7838" w:rsidRDefault="00551F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BA7838" w:rsidRDefault="00551FEE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BA7838" w:rsidRDefault="00BA7838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BA7838" w:rsidRDefault="00BA7838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3" w:name="_heading=h.1fob9te" w:colFirst="0" w:colLast="0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838" w:rsidRDefault="00BA783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081168"/>
    <w:multiLevelType w:val="multilevel"/>
    <w:tmpl w:val="040A76D8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7838"/>
    <w:rsid w:val="00551FEE"/>
    <w:rsid w:val="00BA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4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4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3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3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character" w:styleId="Hyperlink">
    <w:name w:val="Hyperlink"/>
    <w:basedOn w:val="Fontepargpadro"/>
    <w:uiPriority w:val="99"/>
    <w:semiHidden/>
    <w:unhideWhenUsed/>
    <w:rsid w:val="00D70031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D77E0F"/>
    <w:pPr>
      <w:ind w:left="720"/>
      <w:contextualSpacing/>
    </w:pPr>
  </w:style>
  <w:style w:type="table" w:customStyle="1" w:styleId="af1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2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3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4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5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6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a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b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c">
    <w:basedOn w:val="TableNormal2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d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e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0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1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2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3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4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5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6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f7">
    <w:basedOn w:val="TableNormal2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/cQdv2MVxLgaNVRR8W92wsFqgA==">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3700</Words>
  <Characters>19982</Characters>
  <Application>Microsoft Office Word</Application>
  <DocSecurity>0</DocSecurity>
  <Lines>166</Lines>
  <Paragraphs>47</Paragraphs>
  <ScaleCrop>false</ScaleCrop>
  <Company/>
  <LinksUpToDate>false</LinksUpToDate>
  <CharactersWithSpaces>23635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2025-08-04T14:44:00Z</dcterms:modified>
</cp:coreProperties>
</file>